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233D60BE"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D8553D">
        <w:t>1</w:t>
      </w:r>
      <w:r w:rsidR="005D4A01">
        <w:t>7</w:t>
      </w:r>
      <w:r w:rsidR="005420B4" w:rsidRPr="00893890">
        <w:t>.</w:t>
      </w:r>
      <w:r w:rsidR="00296EFF">
        <w:t xml:space="preserve"> </w:t>
      </w:r>
      <w:r w:rsidR="00EF3AB4">
        <w:t>února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06C8DED5" w:rsidR="004D79D4" w:rsidRDefault="00D8553D"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Čína</w:t>
      </w:r>
      <w:r w:rsidR="005F4989">
        <w:rPr>
          <w:rStyle w:val="normaltextrun"/>
          <w:rFonts w:ascii="Arial" w:hAnsi="Arial" w:cs="Arial"/>
          <w:b/>
          <w:bCs/>
          <w:color w:val="000000"/>
          <w:sz w:val="28"/>
          <w:szCs w:val="28"/>
          <w:lang w:val="cs-CZ"/>
        </w:rPr>
        <w:t xml:space="preserve">: </w:t>
      </w:r>
      <w:r>
        <w:rPr>
          <w:rStyle w:val="normaltextrun"/>
          <w:rFonts w:ascii="Arial" w:hAnsi="Arial" w:cs="Arial"/>
          <w:b/>
          <w:bCs/>
          <w:color w:val="000000"/>
          <w:sz w:val="28"/>
          <w:szCs w:val="28"/>
          <w:lang w:val="cs-CZ"/>
        </w:rPr>
        <w:t>Na co by se měli investoři zaměřit v souvislosti se změnou politiky</w:t>
      </w:r>
      <w:r w:rsidR="006E5C5D">
        <w:rPr>
          <w:rStyle w:val="normaltextrun"/>
          <w:rFonts w:ascii="Arial" w:hAnsi="Arial" w:cs="Arial"/>
          <w:b/>
          <w:bCs/>
          <w:color w:val="000000"/>
          <w:sz w:val="28"/>
          <w:szCs w:val="28"/>
          <w:lang w:val="cs-CZ"/>
        </w:rPr>
        <w:t xml:space="preserve"> </w:t>
      </w:r>
    </w:p>
    <w:p w14:paraId="7479E344" w14:textId="03109687" w:rsidR="00D8553D" w:rsidRPr="00D8553D" w:rsidRDefault="00D8553D" w:rsidP="00D8553D">
      <w:pPr>
        <w:pStyle w:val="F2-zkladn"/>
        <w:rPr>
          <w:rFonts w:asciiTheme="minorHAnsi" w:hAnsiTheme="minorHAnsi" w:cstheme="minorHAnsi"/>
          <w:b/>
          <w:bCs/>
          <w:sz w:val="24"/>
          <w:szCs w:val="24"/>
        </w:rPr>
      </w:pPr>
      <w:r w:rsidRPr="00D8553D">
        <w:rPr>
          <w:rFonts w:asciiTheme="minorHAnsi" w:hAnsiTheme="minorHAnsi" w:cstheme="minorHAnsi"/>
          <w:b/>
          <w:bCs/>
          <w:sz w:val="24"/>
          <w:szCs w:val="24"/>
        </w:rPr>
        <w:t xml:space="preserve">Čína čelí řadě ekonomických problémů – potížím v sektoru bydlení, přetrvávajícímu riziku deflace, slabé spotřebitelské poptávce a možnosti zvýšení cel ze strany USA. Analytici společnosti </w:t>
      </w:r>
      <w:proofErr w:type="spellStart"/>
      <w:r w:rsidRPr="00D8553D">
        <w:rPr>
          <w:rFonts w:asciiTheme="minorHAnsi" w:hAnsiTheme="minorHAnsi" w:cstheme="minorHAnsi"/>
          <w:b/>
          <w:bCs/>
          <w:sz w:val="24"/>
          <w:szCs w:val="24"/>
        </w:rPr>
        <w:t>Fidelity</w:t>
      </w:r>
      <w:proofErr w:type="spellEnd"/>
      <w:r w:rsidRPr="00D8553D">
        <w:rPr>
          <w:rFonts w:asciiTheme="minorHAnsi" w:hAnsiTheme="minorHAnsi" w:cstheme="minorHAnsi"/>
          <w:b/>
          <w:bCs/>
          <w:sz w:val="24"/>
          <w:szCs w:val="24"/>
        </w:rPr>
        <w:t xml:space="preserve"> International, kteří v zemi působí, však vidí řadu oblastí s potenciálem, protože vláda se v roce 2025 chystá podpořit růst.</w:t>
      </w:r>
    </w:p>
    <w:p w14:paraId="2491291B" w14:textId="6D111B3C" w:rsidR="00D8553D" w:rsidRDefault="00EF3AB4" w:rsidP="00D8553D">
      <w:pPr>
        <w:rPr>
          <w:i/>
          <w:iCs/>
        </w:rPr>
      </w:pPr>
      <w:r>
        <w:rPr>
          <w:i/>
          <w:iCs/>
        </w:rPr>
        <w:t xml:space="preserve">Autoři: </w:t>
      </w:r>
      <w:r w:rsidR="00D8553D">
        <w:rPr>
          <w:i/>
          <w:iCs/>
        </w:rPr>
        <w:t xml:space="preserve">Monica </w:t>
      </w:r>
      <w:proofErr w:type="spellStart"/>
      <w:r w:rsidR="00D8553D">
        <w:rPr>
          <w:i/>
          <w:iCs/>
        </w:rPr>
        <w:t>Li</w:t>
      </w:r>
      <w:proofErr w:type="spellEnd"/>
      <w:r w:rsidR="006E5C5D">
        <w:rPr>
          <w:i/>
          <w:iCs/>
        </w:rPr>
        <w:t xml:space="preserve">, </w:t>
      </w:r>
      <w:r w:rsidR="00D8553D">
        <w:rPr>
          <w:i/>
          <w:iCs/>
        </w:rPr>
        <w:t xml:space="preserve">Judy </w:t>
      </w:r>
      <w:proofErr w:type="spellStart"/>
      <w:r w:rsidR="00D8553D">
        <w:rPr>
          <w:i/>
          <w:iCs/>
        </w:rPr>
        <w:t>Chen</w:t>
      </w:r>
      <w:proofErr w:type="spellEnd"/>
    </w:p>
    <w:p w14:paraId="769D50C8" w14:textId="33AD909A" w:rsidR="00D8553D" w:rsidRPr="00D8553D" w:rsidRDefault="00D8553D" w:rsidP="00D8553D">
      <w:r w:rsidRPr="001275FD">
        <w:t>V loňském roce, kdy se Čína potýkala s řadou hospodářských problémů, se znovu objevily pochybnosti o investování v Číně</w:t>
      </w:r>
      <w:r w:rsidRPr="00287EA8">
        <w:t xml:space="preserve">. </w:t>
      </w:r>
      <w:r w:rsidRPr="001275FD">
        <w:t xml:space="preserve">Náš každoroční průzkum mezi analytiky však ukazuje, že vládní stimulační opatření </w:t>
      </w:r>
      <w:r>
        <w:t xml:space="preserve">zřejmě podle očekávání </w:t>
      </w:r>
      <w:r w:rsidRPr="001275FD">
        <w:t>zmírní ekonomický tlak a zlepší zisk</w:t>
      </w:r>
      <w:r>
        <w:t>y</w:t>
      </w:r>
      <w:r w:rsidRPr="001275FD">
        <w:t xml:space="preserve"> v řadě odvětví</w:t>
      </w:r>
      <w:r w:rsidRPr="00287EA8">
        <w:t xml:space="preserve">. </w:t>
      </w:r>
    </w:p>
    <w:p w14:paraId="2B8B60B7" w14:textId="77777777" w:rsidR="00D8553D" w:rsidRPr="00287EA8" w:rsidRDefault="00D8553D" w:rsidP="00D8553D">
      <w:r w:rsidRPr="001275FD">
        <w:t xml:space="preserve">Analytici společnosti </w:t>
      </w:r>
      <w:proofErr w:type="spellStart"/>
      <w:r w:rsidRPr="001275FD">
        <w:t>Fidelity</w:t>
      </w:r>
      <w:proofErr w:type="spellEnd"/>
      <w:r w:rsidRPr="001275FD">
        <w:t xml:space="preserve"> mají vysoká očekávání ohledně fiskální a měnové politiky </w:t>
      </w:r>
      <w:r>
        <w:t xml:space="preserve">v Číně </w:t>
      </w:r>
      <w:r w:rsidRPr="001275FD">
        <w:t xml:space="preserve">v roce 2025: více než 70 % z nich tvrdí, že měnová politika bude mít pozitivní dopad na základní ukazatele společností, zatímco více než 80 % z nich tvrdí totéž o plánech </w:t>
      </w:r>
      <w:r>
        <w:t xml:space="preserve">ve </w:t>
      </w:r>
      <w:r w:rsidRPr="001275FD">
        <w:t>fiskální</w:t>
      </w:r>
      <w:r>
        <w:t xml:space="preserve"> oblasti.</w:t>
      </w:r>
      <w:r w:rsidRPr="001275FD">
        <w:t xml:space="preserve"> </w:t>
      </w:r>
      <w:r w:rsidRPr="00287EA8">
        <w:t xml:space="preserve"> </w:t>
      </w:r>
    </w:p>
    <w:p w14:paraId="1ED12FB1" w14:textId="77777777" w:rsidR="00D8553D" w:rsidRPr="00D8553D" w:rsidRDefault="00D8553D" w:rsidP="00D8553D">
      <w:pPr>
        <w:rPr>
          <w:i/>
          <w:iCs/>
        </w:rPr>
      </w:pPr>
      <w:r w:rsidRPr="00D8553D">
        <w:rPr>
          <w:i/>
          <w:iCs/>
        </w:rPr>
        <w:t>„Ekonomika zpomaluje,“</w:t>
      </w:r>
      <w:r w:rsidRPr="001275FD">
        <w:t xml:space="preserve"> říká Eric </w:t>
      </w:r>
      <w:proofErr w:type="spellStart"/>
      <w:r w:rsidRPr="001275FD">
        <w:t>Tse</w:t>
      </w:r>
      <w:proofErr w:type="spellEnd"/>
      <w:r w:rsidRPr="001275FD">
        <w:t xml:space="preserve">, akciový analytik čínských automobilových společností. </w:t>
      </w:r>
      <w:r w:rsidRPr="00D8553D">
        <w:rPr>
          <w:i/>
          <w:iCs/>
        </w:rPr>
        <w:t>„Zpomalení by však měla kompenzovat stimulační politika na podporu domácí spotřeby a snížení převisu nabídky.“</w:t>
      </w:r>
    </w:p>
    <w:p w14:paraId="504785C4" w14:textId="77777777" w:rsidR="00D8553D" w:rsidRPr="00D8553D" w:rsidRDefault="00D8553D" w:rsidP="00D8553D">
      <w:pPr>
        <w:rPr>
          <w:rFonts w:asciiTheme="minorHAnsi" w:hAnsiTheme="minorHAnsi" w:cstheme="minorHAnsi"/>
          <w:b/>
          <w:bCs/>
          <w:sz w:val="24"/>
          <w:szCs w:val="24"/>
        </w:rPr>
      </w:pPr>
      <w:r w:rsidRPr="00D8553D">
        <w:rPr>
          <w:rFonts w:asciiTheme="minorHAnsi" w:hAnsiTheme="minorHAnsi" w:cstheme="minorHAnsi"/>
          <w:b/>
          <w:bCs/>
          <w:sz w:val="24"/>
          <w:szCs w:val="24"/>
        </w:rPr>
        <w:t>Obrat k růstu</w:t>
      </w:r>
    </w:p>
    <w:p w14:paraId="107B9155" w14:textId="77777777" w:rsidR="00D8553D" w:rsidRPr="00287EA8" w:rsidRDefault="00D8553D" w:rsidP="00D8553D">
      <w:r w:rsidRPr="001275FD">
        <w:t>Poté, co měsíce dílčích opatření nevedly k oživení ekonomiky, představila Čína koncem loňského roku rozsáhlý balíček stimulačních opatření – včetně snížení úrokových sazeb, podpory trhu s nemovitostmi a nabídky občanům vyměnit staré výrobky za dotované novější modely ve snaze zvýšit spotřebu</w:t>
      </w:r>
      <w:r w:rsidRPr="00287EA8">
        <w:t xml:space="preserve">. </w:t>
      </w:r>
      <w:r w:rsidRPr="001275FD">
        <w:t>Vedoucí představitelé se na prosincové konferenci</w:t>
      </w:r>
      <w:r>
        <w:t xml:space="preserve"> </w:t>
      </w:r>
      <w:proofErr w:type="spellStart"/>
      <w:r w:rsidRPr="00287EA8">
        <w:t>Central</w:t>
      </w:r>
      <w:proofErr w:type="spellEnd"/>
      <w:r w:rsidRPr="00287EA8">
        <w:t xml:space="preserve"> </w:t>
      </w:r>
      <w:proofErr w:type="spellStart"/>
      <w:r w:rsidRPr="00287EA8">
        <w:t>Economic</w:t>
      </w:r>
      <w:proofErr w:type="spellEnd"/>
      <w:r w:rsidRPr="00287EA8">
        <w:t xml:space="preserve"> </w:t>
      </w:r>
      <w:proofErr w:type="spellStart"/>
      <w:r w:rsidRPr="00287EA8">
        <w:t>Work</w:t>
      </w:r>
      <w:proofErr w:type="spellEnd"/>
      <w:r w:rsidRPr="00287EA8">
        <w:t xml:space="preserve"> </w:t>
      </w:r>
      <w:proofErr w:type="spellStart"/>
      <w:r w:rsidRPr="00287EA8">
        <w:t>Conference</w:t>
      </w:r>
      <w:proofErr w:type="spellEnd"/>
      <w:r w:rsidRPr="001275FD">
        <w:t>, která vytyčuje hospodářské cíle na příští rok, rovněž zavázali k rozšíření fiskálních výdajů a uvolnění měnové politiky</w:t>
      </w:r>
      <w:r w:rsidRPr="00287EA8">
        <w:t xml:space="preserve">. </w:t>
      </w:r>
    </w:p>
    <w:p w14:paraId="36C3F658" w14:textId="77777777" w:rsidR="00D8553D" w:rsidRPr="00287EA8" w:rsidRDefault="00D8553D" w:rsidP="00D8553D">
      <w:r w:rsidRPr="009C2FC1">
        <w:t xml:space="preserve">Vytváření poptávky se pro Čínu stalo vysokou prioritou. Na začátku roku 2025 vláda rozšířila program výměny </w:t>
      </w:r>
      <w:r>
        <w:t xml:space="preserve">výrobků pro </w:t>
      </w:r>
      <w:r w:rsidRPr="009C2FC1">
        <w:t>spotřebitel</w:t>
      </w:r>
      <w:r>
        <w:t>e</w:t>
      </w:r>
      <w:r w:rsidRPr="009C2FC1">
        <w:t xml:space="preserve"> a zvýšila financování modernizace průmyslových zařízení</w:t>
      </w:r>
      <w:r w:rsidRPr="00287EA8">
        <w:t xml:space="preserve">. </w:t>
      </w:r>
      <w:r w:rsidRPr="006D3144">
        <w:t xml:space="preserve">Eric </w:t>
      </w:r>
      <w:proofErr w:type="spellStart"/>
      <w:r w:rsidRPr="006D3144">
        <w:t>Zhu</w:t>
      </w:r>
      <w:proofErr w:type="spellEnd"/>
      <w:r w:rsidRPr="006D3144">
        <w:t xml:space="preserve">, akciový analytik zabývající se spotřebním sektorem, tvrdí, že tyto </w:t>
      </w:r>
      <w:r>
        <w:t xml:space="preserve">pobídky </w:t>
      </w:r>
      <w:r w:rsidRPr="006D3144">
        <w:t>povedou k postupnému oživení tohoto segmentu ekonomiky</w:t>
      </w:r>
      <w:r>
        <w:t>. D</w:t>
      </w:r>
      <w:r w:rsidRPr="006D3144">
        <w:t>osud</w:t>
      </w:r>
      <w:r>
        <w:t xml:space="preserve"> se</w:t>
      </w:r>
      <w:r w:rsidRPr="006D3144">
        <w:t xml:space="preserve"> jen těžko vzpamatovával</w:t>
      </w:r>
      <w:r w:rsidRPr="00287EA8">
        <w:t xml:space="preserve">. </w:t>
      </w:r>
    </w:p>
    <w:p w14:paraId="0548BC4E" w14:textId="77777777" w:rsidR="00EF3AB4" w:rsidRPr="00EF3AB4" w:rsidRDefault="00EF3AB4" w:rsidP="00EF3AB4">
      <w:pPr>
        <w:rPr>
          <w:i/>
          <w:iCs/>
        </w:rPr>
      </w:pPr>
      <w:r w:rsidRPr="00EF3AB4">
        <w:rPr>
          <w:i/>
          <w:iCs/>
        </w:rPr>
        <w:t>„Číňany ze střední třídy, kteří mají nadměrné úspory a poptávají obměnu a modernizaci, to povzbudí k tomu, aby více utráceli za velké zbytné výrobky, jako jsou spotřebiče, nábytek a spotřební elektronika,“</w:t>
      </w:r>
      <w:r w:rsidRPr="006D3144">
        <w:t xml:space="preserve"> říká. </w:t>
      </w:r>
      <w:r w:rsidRPr="00EF3AB4">
        <w:rPr>
          <w:i/>
          <w:iCs/>
        </w:rPr>
        <w:t>„Čína navíc uvolňuje vízovou povinnost pro cizince, což podpoří příjezdový cestovní ruch, což zase pomůže pohostinství, cestovnímu ruchu a dalším souvisejícím spotřebitelským odvětvím.“</w:t>
      </w:r>
    </w:p>
    <w:p w14:paraId="30B8C95E" w14:textId="19D2D251" w:rsidR="00D8553D" w:rsidRDefault="00D8553D" w:rsidP="00D8553D">
      <w:pPr>
        <w:spacing w:line="360" w:lineRule="auto"/>
        <w:rPr>
          <w:rFonts w:asciiTheme="minorHAnsi" w:hAnsiTheme="minorHAnsi" w:cstheme="minorHAnsi"/>
          <w:b/>
          <w:bCs/>
          <w:sz w:val="24"/>
          <w:szCs w:val="24"/>
        </w:rPr>
      </w:pPr>
      <w:r>
        <w:rPr>
          <w:rFonts w:asciiTheme="minorHAnsi" w:hAnsiTheme="minorHAnsi" w:cstheme="minorHAnsi"/>
          <w:b/>
          <w:bCs/>
          <w:sz w:val="24"/>
          <w:szCs w:val="24"/>
        </w:rPr>
        <w:lastRenderedPageBreak/>
        <w:t>Graf 1: Analytici zabývající se Čínou vkládají velké naděje do fiskální politiky</w:t>
      </w:r>
      <w:r>
        <w:rPr>
          <w:rFonts w:asciiTheme="minorHAnsi" w:hAnsiTheme="minorHAnsi" w:cstheme="minorHAnsi"/>
          <w:b/>
          <w:bCs/>
          <w:sz w:val="24"/>
          <w:szCs w:val="24"/>
        </w:rPr>
        <w:br/>
      </w:r>
      <w:r>
        <w:t>Jaké jsou vaše očekávání ohledně dopadu fiskální politiky na vaše společnosti?</w:t>
      </w:r>
    </w:p>
    <w:p w14:paraId="2A509B89" w14:textId="3B93B85A" w:rsidR="00D8553D" w:rsidRPr="00D8553D" w:rsidRDefault="00D8553D" w:rsidP="00D8553D">
      <w:pPr>
        <w:spacing w:line="360" w:lineRule="auto"/>
        <w:rPr>
          <w:rFonts w:asciiTheme="minorHAnsi" w:hAnsiTheme="minorHAnsi" w:cstheme="minorHAnsi"/>
          <w:b/>
          <w:bCs/>
          <w:sz w:val="18"/>
          <w:szCs w:val="18"/>
        </w:rPr>
      </w:pPr>
      <w:r w:rsidRPr="00D8553D">
        <w:rPr>
          <w:noProof/>
          <w:sz w:val="18"/>
          <w:szCs w:val="18"/>
        </w:rPr>
        <w:drawing>
          <wp:anchor distT="0" distB="0" distL="114300" distR="114300" simplePos="0" relativeHeight="251658240" behindDoc="0" locked="0" layoutInCell="1" allowOverlap="1" wp14:anchorId="0652C80C" wp14:editId="7A4A0F70">
            <wp:simplePos x="0" y="0"/>
            <wp:positionH relativeFrom="column">
              <wp:posOffset>4445</wp:posOffset>
            </wp:positionH>
            <wp:positionV relativeFrom="paragraph">
              <wp:posOffset>43180</wp:posOffset>
            </wp:positionV>
            <wp:extent cx="3488690" cy="2325370"/>
            <wp:effectExtent l="0" t="0" r="0" b="0"/>
            <wp:wrapTopAndBottom/>
            <wp:docPr id="6813083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8690" cy="2325370"/>
                    </a:xfrm>
                    <a:prstGeom prst="rect">
                      <a:avLst/>
                    </a:prstGeom>
                    <a:noFill/>
                    <a:ln>
                      <a:noFill/>
                    </a:ln>
                  </pic:spPr>
                </pic:pic>
              </a:graphicData>
            </a:graphic>
          </wp:anchor>
        </w:drawing>
      </w:r>
      <w:r w:rsidRPr="00D8553D">
        <w:rPr>
          <w:i/>
          <w:iCs/>
          <w:sz w:val="18"/>
          <w:szCs w:val="18"/>
        </w:rPr>
        <w:t xml:space="preserve">Graf ukazuje procento analytiků, kteří odpověděli na otázku „Jaká jsou vaše očekávání ohledně dopadu fiskální politiky na vaše společnosti?“. Analytici, kteří odpověděli „žádný dopad“, v grafu zobrazeni nejsou. Zdroj: </w:t>
      </w:r>
      <w:proofErr w:type="spellStart"/>
      <w:r w:rsidRPr="00D8553D">
        <w:rPr>
          <w:i/>
          <w:iCs/>
          <w:sz w:val="18"/>
          <w:szCs w:val="18"/>
        </w:rPr>
        <w:t>Fidelity</w:t>
      </w:r>
      <w:proofErr w:type="spellEnd"/>
      <w:r w:rsidRPr="00D8553D">
        <w:rPr>
          <w:i/>
          <w:iCs/>
          <w:sz w:val="18"/>
          <w:szCs w:val="18"/>
        </w:rPr>
        <w:t xml:space="preserve"> International, leden 2025. </w:t>
      </w:r>
    </w:p>
    <w:p w14:paraId="3A205B89" w14:textId="25B18BB8" w:rsidR="00EF3AB4" w:rsidRPr="00EF3AB4" w:rsidRDefault="00EF3AB4" w:rsidP="00EF3AB4">
      <w:pPr>
        <w:spacing w:line="360" w:lineRule="auto"/>
        <w:rPr>
          <w:rFonts w:asciiTheme="minorHAnsi" w:hAnsiTheme="minorHAnsi" w:cstheme="minorHAnsi"/>
          <w:b/>
          <w:bCs/>
          <w:sz w:val="24"/>
          <w:szCs w:val="24"/>
        </w:rPr>
      </w:pPr>
      <w:r w:rsidRPr="00287EA8">
        <w:rPr>
          <w:noProof/>
        </w:rPr>
        <w:drawing>
          <wp:anchor distT="0" distB="0" distL="114300" distR="114300" simplePos="0" relativeHeight="251659264" behindDoc="0" locked="0" layoutInCell="1" allowOverlap="1" wp14:anchorId="4EAE7A2A" wp14:editId="0A54AFA4">
            <wp:simplePos x="0" y="0"/>
            <wp:positionH relativeFrom="column">
              <wp:posOffset>4445</wp:posOffset>
            </wp:positionH>
            <wp:positionV relativeFrom="paragraph">
              <wp:posOffset>711835</wp:posOffset>
            </wp:positionV>
            <wp:extent cx="3657600" cy="2438400"/>
            <wp:effectExtent l="0" t="0" r="0" b="0"/>
            <wp:wrapTopAndBottom/>
            <wp:docPr id="12416066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438400"/>
                    </a:xfrm>
                    <a:prstGeom prst="rect">
                      <a:avLst/>
                    </a:prstGeom>
                    <a:noFill/>
                    <a:ln>
                      <a:noFill/>
                    </a:ln>
                  </pic:spPr>
                </pic:pic>
              </a:graphicData>
            </a:graphic>
          </wp:anchor>
        </w:drawing>
      </w:r>
      <w:r>
        <w:rPr>
          <w:rFonts w:asciiTheme="minorHAnsi" w:hAnsiTheme="minorHAnsi" w:cstheme="minorHAnsi"/>
          <w:b/>
          <w:bCs/>
          <w:sz w:val="24"/>
          <w:szCs w:val="24"/>
        </w:rPr>
        <w:t>Graf 2: Analytici zabývající se Čínou vkládají velké naděje i do měnové politiky</w:t>
      </w:r>
      <w:r>
        <w:rPr>
          <w:rFonts w:asciiTheme="minorHAnsi" w:hAnsiTheme="minorHAnsi" w:cstheme="minorHAnsi"/>
          <w:b/>
          <w:bCs/>
          <w:sz w:val="24"/>
          <w:szCs w:val="24"/>
        </w:rPr>
        <w:br/>
      </w:r>
      <w:r w:rsidRPr="00EF3AB4">
        <w:t>Jaká jsou vaše očekávání ohledně dopadu měnové politiky na vámi pokrývané společnosti?</w:t>
      </w:r>
    </w:p>
    <w:p w14:paraId="6628C0F2" w14:textId="77777777" w:rsidR="00EF3AB4" w:rsidRPr="00EF3AB4" w:rsidRDefault="00EF3AB4" w:rsidP="00EF3AB4">
      <w:pPr>
        <w:spacing w:line="240" w:lineRule="auto"/>
        <w:rPr>
          <w:i/>
          <w:iCs/>
          <w:sz w:val="18"/>
          <w:szCs w:val="18"/>
        </w:rPr>
      </w:pPr>
      <w:r w:rsidRPr="00EF3AB4">
        <w:rPr>
          <w:i/>
          <w:iCs/>
          <w:sz w:val="18"/>
          <w:szCs w:val="18"/>
        </w:rPr>
        <w:t xml:space="preserve">Graf ukazuje procento analytiků, kteří odpověděli na otázku „Jaká jsou vaše očekávání ohledně dopadu měnové politiky na vámi pokrývané společnosti?“. Analytici, kteří odpověděli „žádný dopad“, v grafu zobrazeni nejsou. Zdroj: </w:t>
      </w:r>
      <w:proofErr w:type="spellStart"/>
      <w:r w:rsidRPr="00EF3AB4">
        <w:rPr>
          <w:i/>
          <w:iCs/>
          <w:sz w:val="18"/>
          <w:szCs w:val="18"/>
        </w:rPr>
        <w:t>Fidelity</w:t>
      </w:r>
      <w:proofErr w:type="spellEnd"/>
      <w:r w:rsidRPr="00EF3AB4">
        <w:rPr>
          <w:i/>
          <w:iCs/>
          <w:sz w:val="18"/>
          <w:szCs w:val="18"/>
        </w:rPr>
        <w:t xml:space="preserve"> International, leden 2025. </w:t>
      </w:r>
    </w:p>
    <w:p w14:paraId="1BF9F631" w14:textId="77777777" w:rsidR="00EF3AB4" w:rsidRPr="00EF3AB4" w:rsidRDefault="00EF3AB4" w:rsidP="00EF3AB4">
      <w:pPr>
        <w:rPr>
          <w:rFonts w:asciiTheme="minorHAnsi" w:hAnsiTheme="minorHAnsi" w:cstheme="minorHAnsi"/>
          <w:b/>
          <w:bCs/>
          <w:sz w:val="24"/>
          <w:szCs w:val="24"/>
        </w:rPr>
      </w:pPr>
      <w:r w:rsidRPr="00EF3AB4">
        <w:rPr>
          <w:rFonts w:asciiTheme="minorHAnsi" w:hAnsiTheme="minorHAnsi" w:cstheme="minorHAnsi"/>
          <w:b/>
          <w:bCs/>
          <w:sz w:val="24"/>
          <w:szCs w:val="24"/>
        </w:rPr>
        <w:t>Výhled, pokud jde o zisk</w:t>
      </w:r>
    </w:p>
    <w:p w14:paraId="5F6680F4" w14:textId="77777777" w:rsidR="00EF3AB4" w:rsidRPr="00287EA8" w:rsidRDefault="00EF3AB4" w:rsidP="00EF3AB4">
      <w:pPr>
        <w:rPr>
          <w:b/>
          <w:bCs/>
        </w:rPr>
      </w:pPr>
      <w:r w:rsidRPr="006D3144">
        <w:t>Panuj</w:t>
      </w:r>
      <w:r>
        <w:t>e</w:t>
      </w:r>
      <w:r w:rsidRPr="006D3144">
        <w:t xml:space="preserve"> však nejistot</w:t>
      </w:r>
      <w:r>
        <w:t>a</w:t>
      </w:r>
      <w:r w:rsidRPr="006D3144">
        <w:t xml:space="preserve"> ohledně toho, zda budou takováto stimulační opatření stačit k úplnému vyrovnání kombinace strukturálních ekonomických problémů a potenciálních amerických cel</w:t>
      </w:r>
      <w:r w:rsidRPr="00287EA8">
        <w:t xml:space="preserve">. </w:t>
      </w:r>
      <w:r w:rsidRPr="006D3144">
        <w:t xml:space="preserve">Domácí poptávka se jen těžko zvedá, protože přetrvávající propad na trhu nemovitostí a slabý trh práce </w:t>
      </w:r>
      <w:r>
        <w:t xml:space="preserve">dál </w:t>
      </w:r>
      <w:r w:rsidRPr="006D3144">
        <w:t>oslabují důvěru spotřebitelů a podnikatelů</w:t>
      </w:r>
      <w:r>
        <w:t>. To z</w:t>
      </w:r>
      <w:r w:rsidRPr="006D3144">
        <w:t>vyšuje deflační tlaky i přesto, že centrální banka uvolnila měnovou politiku</w:t>
      </w:r>
      <w:r w:rsidRPr="00287EA8">
        <w:t xml:space="preserve">. </w:t>
      </w:r>
    </w:p>
    <w:p w14:paraId="7A6DF198" w14:textId="1D14C862" w:rsidR="00EF3AB4" w:rsidRPr="00287EA8" w:rsidRDefault="00EF3AB4" w:rsidP="00EF3AB4">
      <w:r w:rsidRPr="006D3144">
        <w:lastRenderedPageBreak/>
        <w:t xml:space="preserve">Vedle domácích překážek </w:t>
      </w:r>
      <w:r>
        <w:t xml:space="preserve">bude působit </w:t>
      </w:r>
      <w:r w:rsidRPr="006D3144">
        <w:t>i tlak ze zahraničí. Americký prezident Donald Trump, který nastoupil do úřadu na začátku tohoto měsíce, pohrozil, že na čínské zboží uvalí až 60procentní cla</w:t>
      </w:r>
      <w:r w:rsidRPr="00287EA8">
        <w:t xml:space="preserve">. </w:t>
      </w:r>
      <w:r w:rsidRPr="006D3144">
        <w:t xml:space="preserve">Podle našeho průzkumu 11 % analytiků tvrdí, že geopolitická rizika budou mít výrazně negativní dopad na základní ukazatele čínských společností, což je nejvíce na světě. Dvě třetiny z nich </w:t>
      </w:r>
      <w:r>
        <w:t xml:space="preserve">předpokládá </w:t>
      </w:r>
      <w:r w:rsidRPr="006D3144">
        <w:t>mírně negativní dopad, což je nejvíce v</w:t>
      </w:r>
      <w:r>
        <w:t xml:space="preserve"> celé </w:t>
      </w:r>
      <w:r w:rsidRPr="006D3144">
        <w:t>Asii</w:t>
      </w:r>
      <w:r w:rsidRPr="00287EA8">
        <w:t xml:space="preserve">. </w:t>
      </w:r>
    </w:p>
    <w:p w14:paraId="70B1F7B5" w14:textId="67FF296D" w:rsidR="00EF3AB4" w:rsidRPr="00EF3AB4" w:rsidRDefault="00EF3AB4" w:rsidP="00EF3AB4">
      <w:pPr>
        <w:spacing w:line="240" w:lineRule="auto"/>
        <w:rPr>
          <w:rFonts w:asciiTheme="minorHAnsi" w:hAnsiTheme="minorHAnsi" w:cstheme="minorHAnsi"/>
          <w:b/>
          <w:bCs/>
          <w:sz w:val="24"/>
          <w:szCs w:val="24"/>
        </w:rPr>
      </w:pPr>
      <w:r w:rsidRPr="00EF3AB4">
        <w:rPr>
          <w:rFonts w:asciiTheme="minorHAnsi" w:hAnsiTheme="minorHAnsi" w:cstheme="minorHAnsi"/>
          <w:b/>
          <w:bCs/>
          <w:sz w:val="24"/>
          <w:szCs w:val="24"/>
        </w:rPr>
        <w:t>Graf č. 3: Analytici zabývající se Čínou očekávají další negativní dopady geopolitických faktorů</w:t>
      </w:r>
    </w:p>
    <w:p w14:paraId="7678C17A" w14:textId="43BD2C6B" w:rsidR="00EF3AB4" w:rsidRPr="00287EA8" w:rsidRDefault="00EF3AB4" w:rsidP="00EF3AB4">
      <w:pPr>
        <w:spacing w:line="240" w:lineRule="auto"/>
        <w:rPr>
          <w:rFonts w:cstheme="minorHAnsi"/>
          <w:b/>
          <w:bCs/>
          <w:sz w:val="24"/>
          <w:szCs w:val="24"/>
        </w:rPr>
      </w:pPr>
      <w:r w:rsidRPr="00287EA8">
        <w:rPr>
          <w:noProof/>
        </w:rPr>
        <w:drawing>
          <wp:anchor distT="0" distB="0" distL="114300" distR="114300" simplePos="0" relativeHeight="251660288" behindDoc="0" locked="0" layoutInCell="1" allowOverlap="1" wp14:anchorId="09230A95" wp14:editId="0D2EDE91">
            <wp:simplePos x="0" y="0"/>
            <wp:positionH relativeFrom="column">
              <wp:posOffset>4445</wp:posOffset>
            </wp:positionH>
            <wp:positionV relativeFrom="paragraph">
              <wp:posOffset>587375</wp:posOffset>
            </wp:positionV>
            <wp:extent cx="4484914" cy="2989942"/>
            <wp:effectExtent l="0" t="0" r="0" b="1270"/>
            <wp:wrapTopAndBottom/>
            <wp:docPr id="2100166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4914" cy="2989942"/>
                    </a:xfrm>
                    <a:prstGeom prst="rect">
                      <a:avLst/>
                    </a:prstGeom>
                    <a:noFill/>
                    <a:ln>
                      <a:noFill/>
                    </a:ln>
                  </pic:spPr>
                </pic:pic>
              </a:graphicData>
            </a:graphic>
          </wp:anchor>
        </w:drawing>
      </w:r>
      <w:r w:rsidRPr="006D3144">
        <w:rPr>
          <w:rFonts w:cstheme="minorHAnsi"/>
          <w:color w:val="000000"/>
          <w:shd w:val="clear" w:color="auto" w:fill="FFFFFF"/>
        </w:rPr>
        <w:t>Jaký dopad očekáváte, že bude mít geopolitické riziko na ziskovost v</w:t>
      </w:r>
      <w:r>
        <w:rPr>
          <w:rFonts w:cstheme="minorHAnsi"/>
          <w:color w:val="000000"/>
          <w:shd w:val="clear" w:color="auto" w:fill="FFFFFF"/>
        </w:rPr>
        <w:t>ámi pokrývaných</w:t>
      </w:r>
      <w:r w:rsidRPr="006D3144">
        <w:rPr>
          <w:rFonts w:cstheme="minorHAnsi"/>
          <w:color w:val="000000"/>
          <w:shd w:val="clear" w:color="auto" w:fill="FFFFFF"/>
        </w:rPr>
        <w:t xml:space="preserve"> společností v příštích 12 měsících</w:t>
      </w:r>
      <w:r w:rsidRPr="00287EA8">
        <w:rPr>
          <w:rFonts w:cstheme="minorHAnsi"/>
          <w:color w:val="000000"/>
          <w:shd w:val="clear" w:color="auto" w:fill="FFFFFF"/>
        </w:rPr>
        <w:t>? </w:t>
      </w:r>
    </w:p>
    <w:p w14:paraId="11A366BA" w14:textId="623C70B8" w:rsidR="00EF3AB4" w:rsidRPr="00287EA8" w:rsidRDefault="00EF3AB4" w:rsidP="00EF3AB4"/>
    <w:p w14:paraId="44A8955B" w14:textId="303BB31F" w:rsidR="00EF3AB4" w:rsidRPr="00EF3AB4" w:rsidRDefault="00EF3AB4" w:rsidP="00EF3AB4">
      <w:pPr>
        <w:spacing w:line="240" w:lineRule="auto"/>
        <w:rPr>
          <w:i/>
          <w:iCs/>
          <w:sz w:val="18"/>
          <w:szCs w:val="18"/>
        </w:rPr>
      </w:pPr>
      <w:r w:rsidRPr="00EF3AB4">
        <w:rPr>
          <w:i/>
          <w:iCs/>
          <w:sz w:val="18"/>
          <w:szCs w:val="18"/>
        </w:rPr>
        <w:t xml:space="preserve">Graf znázorňuje procento analytiků, kteří odpověděli na otázku „Jaký dopad očekáváte, že bude mít geopolitické riziko na ziskovost vašich společností v příštích 12 měsících?“. Žádný analytik nezvolil možnost „výrazně pozitivní dopad“. Zdroj: </w:t>
      </w:r>
      <w:proofErr w:type="spellStart"/>
      <w:r w:rsidRPr="00EF3AB4">
        <w:rPr>
          <w:i/>
          <w:iCs/>
          <w:sz w:val="18"/>
          <w:szCs w:val="18"/>
        </w:rPr>
        <w:t>Fidelity</w:t>
      </w:r>
      <w:proofErr w:type="spellEnd"/>
      <w:r w:rsidRPr="00EF3AB4">
        <w:rPr>
          <w:i/>
          <w:iCs/>
          <w:sz w:val="18"/>
          <w:szCs w:val="18"/>
        </w:rPr>
        <w:t xml:space="preserve"> International, leden 2025. </w:t>
      </w:r>
    </w:p>
    <w:p w14:paraId="1276AF36" w14:textId="0E123215" w:rsidR="00EF3AB4" w:rsidRPr="00287EA8" w:rsidRDefault="00EF3AB4" w:rsidP="00EF3AB4">
      <w:r w:rsidRPr="004A401B">
        <w:t xml:space="preserve">Vzhledem k tomu, že vítěz přetahované mezi </w:t>
      </w:r>
      <w:r>
        <w:t xml:space="preserve">stimulačními opatřeními </w:t>
      </w:r>
      <w:r w:rsidRPr="004A401B">
        <w:t>a makro</w:t>
      </w:r>
      <w:r>
        <w:t xml:space="preserve">ekonomickými </w:t>
      </w:r>
      <w:r w:rsidRPr="004A401B">
        <w:t xml:space="preserve">problémy ještě není jasný, méně než polovina (44 %) analytiků </w:t>
      </w:r>
      <w:r>
        <w:t xml:space="preserve">zabývajících se </w:t>
      </w:r>
      <w:r w:rsidRPr="004A401B">
        <w:t>Čín</w:t>
      </w:r>
      <w:r>
        <w:t xml:space="preserve">ou </w:t>
      </w:r>
      <w:r w:rsidRPr="004A401B">
        <w:t>očekává, že marže jejich společností v příštích 12 měsících mírně vzrostou, zatímco v</w:t>
      </w:r>
      <w:r>
        <w:t xml:space="preserve"> případě </w:t>
      </w:r>
      <w:r w:rsidRPr="004A401B">
        <w:t>Japonsk</w:t>
      </w:r>
      <w:r>
        <w:t>a</w:t>
      </w:r>
      <w:r w:rsidRPr="004A401B">
        <w:t xml:space="preserve"> je to 67 % a v ostatních asijských zemích 56 %</w:t>
      </w:r>
      <w:r w:rsidRPr="00287EA8">
        <w:t xml:space="preserve">. </w:t>
      </w:r>
      <w:r w:rsidRPr="004A401B">
        <w:t xml:space="preserve">Z respondentů </w:t>
      </w:r>
      <w:r>
        <w:t xml:space="preserve">zabývajících se </w:t>
      </w:r>
      <w:r w:rsidRPr="004A401B">
        <w:t>Čín</w:t>
      </w:r>
      <w:r>
        <w:t xml:space="preserve">ou </w:t>
      </w:r>
      <w:r w:rsidRPr="004A401B">
        <w:t>44 % odhaduje, že marže zůstanou stejné, a 11 % odhaduje mírné zhoršení</w:t>
      </w:r>
      <w:r w:rsidRPr="00287EA8">
        <w:t>.</w:t>
      </w:r>
    </w:p>
    <w:p w14:paraId="6E2C545A" w14:textId="77777777" w:rsidR="00EF3AB4" w:rsidRPr="00287EA8" w:rsidRDefault="00EF3AB4" w:rsidP="00EF3AB4">
      <w:pPr>
        <w:rPr>
          <w:color w:val="FF0000"/>
        </w:rPr>
      </w:pPr>
      <w:r w:rsidRPr="00EF3AB4">
        <w:rPr>
          <w:i/>
          <w:iCs/>
        </w:rPr>
        <w:t xml:space="preserve">„Manažerské týmy společností zaměřených na domácí trh budou potřebovat, aby se podnikatelská dynamika zvýšila, než budou mít větší důvěru investovat,“ </w:t>
      </w:r>
      <w:r w:rsidRPr="004A401B">
        <w:t xml:space="preserve">říká </w:t>
      </w:r>
      <w:proofErr w:type="spellStart"/>
      <w:r w:rsidRPr="004A401B">
        <w:t>Teddy</w:t>
      </w:r>
      <w:proofErr w:type="spellEnd"/>
      <w:r w:rsidRPr="004A401B">
        <w:t xml:space="preserve"> </w:t>
      </w:r>
      <w:proofErr w:type="spellStart"/>
      <w:r w:rsidRPr="004A401B">
        <w:t>Gao</w:t>
      </w:r>
      <w:proofErr w:type="spellEnd"/>
      <w:r w:rsidRPr="004A401B">
        <w:t xml:space="preserve">, akciový analytik zabývající se společnostmi </w:t>
      </w:r>
      <w:bookmarkStart w:id="0" w:name="_Hlk189483749"/>
      <w:r w:rsidRPr="004A401B">
        <w:t>s malou tržní kapitalizací</w:t>
      </w:r>
      <w:bookmarkEnd w:id="0"/>
      <w:r w:rsidRPr="00287EA8">
        <w:t xml:space="preserve">. </w:t>
      </w:r>
      <w:r w:rsidRPr="00EF3AB4">
        <w:rPr>
          <w:i/>
          <w:iCs/>
        </w:rPr>
        <w:t>„Platí ovšem, že společnosti zaměřené na vývoz budou zvyšovat kapitálové výdaje, aby přemístily kapacity mimo Čínu.“</w:t>
      </w:r>
    </w:p>
    <w:p w14:paraId="35ACE134" w14:textId="77777777" w:rsidR="00EF3AB4" w:rsidRPr="00287EA8" w:rsidRDefault="00EF3AB4" w:rsidP="00EF3AB4">
      <w:r w:rsidRPr="004A401B">
        <w:t>Více než polovina (56 %) analytiků tvrdí, že úroveň důvěry manažerských týmů je stejná jako v loňském roce. Pouze 28 procent je pozitivnější</w:t>
      </w:r>
      <w:r w:rsidRPr="00287EA8">
        <w:t xml:space="preserve">. </w:t>
      </w:r>
    </w:p>
    <w:p w14:paraId="63F070B5" w14:textId="77777777" w:rsidR="00EF3AB4" w:rsidRDefault="00EF3AB4" w:rsidP="00EF3AB4">
      <w:pPr>
        <w:rPr>
          <w:rFonts w:asciiTheme="minorHAnsi" w:hAnsiTheme="minorHAnsi" w:cstheme="minorHAnsi"/>
          <w:b/>
          <w:bCs/>
          <w:sz w:val="24"/>
          <w:szCs w:val="24"/>
        </w:rPr>
      </w:pPr>
    </w:p>
    <w:p w14:paraId="44485FEE" w14:textId="76C0F7D4" w:rsidR="00EF3AB4" w:rsidRPr="00EF3AB4" w:rsidRDefault="00EF3AB4" w:rsidP="00EF3AB4">
      <w:pPr>
        <w:rPr>
          <w:rFonts w:asciiTheme="minorHAnsi" w:hAnsiTheme="minorHAnsi" w:cstheme="minorHAnsi"/>
          <w:b/>
          <w:bCs/>
          <w:sz w:val="24"/>
          <w:szCs w:val="24"/>
        </w:rPr>
      </w:pPr>
      <w:r w:rsidRPr="00EF3AB4">
        <w:rPr>
          <w:rFonts w:asciiTheme="minorHAnsi" w:hAnsiTheme="minorHAnsi" w:cstheme="minorHAnsi"/>
          <w:b/>
          <w:bCs/>
          <w:sz w:val="24"/>
          <w:szCs w:val="24"/>
        </w:rPr>
        <w:lastRenderedPageBreak/>
        <w:t>Zářné výjimky</w:t>
      </w:r>
    </w:p>
    <w:p w14:paraId="279517B6" w14:textId="77777777" w:rsidR="00EF3AB4" w:rsidRPr="00287EA8" w:rsidRDefault="00EF3AB4" w:rsidP="00EF3AB4">
      <w:r>
        <w:t>A</w:t>
      </w:r>
      <w:r w:rsidRPr="004A401B">
        <w:t xml:space="preserve">nalytici společnosti </w:t>
      </w:r>
      <w:proofErr w:type="spellStart"/>
      <w:r w:rsidRPr="004A401B">
        <w:t>Fidelity</w:t>
      </w:r>
      <w:proofErr w:type="spellEnd"/>
      <w:r>
        <w:t xml:space="preserve"> ale</w:t>
      </w:r>
      <w:r w:rsidRPr="004A401B">
        <w:t xml:space="preserve"> objevili v Číně mnoho příběhů napříč odvětvími, které jim dávají důvod k optimismu</w:t>
      </w:r>
      <w:r w:rsidRPr="00287EA8">
        <w:t xml:space="preserve">.  </w:t>
      </w:r>
    </w:p>
    <w:p w14:paraId="1DBB6A53" w14:textId="77777777" w:rsidR="00EF3AB4" w:rsidRPr="00287EA8" w:rsidRDefault="00EF3AB4" w:rsidP="00EF3AB4">
      <w:proofErr w:type="spellStart"/>
      <w:r w:rsidRPr="004A401B">
        <w:t>Duanting</w:t>
      </w:r>
      <w:proofErr w:type="spellEnd"/>
      <w:r w:rsidRPr="004A401B">
        <w:t xml:space="preserve"> </w:t>
      </w:r>
      <w:proofErr w:type="spellStart"/>
      <w:r w:rsidRPr="004A401B">
        <w:t>Zhai</w:t>
      </w:r>
      <w:proofErr w:type="spellEnd"/>
      <w:r w:rsidRPr="004A401B">
        <w:t>, akciový analytik v</w:t>
      </w:r>
      <w:r>
        <w:t xml:space="preserve"> sektoru </w:t>
      </w:r>
      <w:r w:rsidRPr="004A401B">
        <w:t xml:space="preserve">zdravotnictví, </w:t>
      </w:r>
      <w:r>
        <w:t xml:space="preserve">očekává </w:t>
      </w:r>
      <w:r w:rsidRPr="004A401B">
        <w:t xml:space="preserve">v roce 2025 postupné zlepšování základních ukazatelů čínských společností vyrábějících zdravotnické vybavení, které těží z vládního programu </w:t>
      </w:r>
      <w:r>
        <w:t xml:space="preserve">na podporu </w:t>
      </w:r>
      <w:r w:rsidRPr="004A401B">
        <w:t>výměny</w:t>
      </w:r>
      <w:r>
        <w:t xml:space="preserve"> zboží</w:t>
      </w:r>
      <w:r w:rsidRPr="00287EA8">
        <w:t xml:space="preserve">. </w:t>
      </w:r>
    </w:p>
    <w:p w14:paraId="39EAB763" w14:textId="77777777" w:rsidR="00EF3AB4" w:rsidRPr="00287EA8" w:rsidRDefault="00EF3AB4" w:rsidP="00EF3AB4">
      <w:r w:rsidRPr="00DC6220">
        <w:t>Nejdůležitější podle ní je, že domácí hráči mají tendenci rychle modernizovat své technologie a snižovat rozdíly oproti globálním konkurentům, což jim pomůže získat podíl na trhu v dlouhodobém horizontu</w:t>
      </w:r>
      <w:r w:rsidRPr="00287EA8">
        <w:t xml:space="preserve">. </w:t>
      </w:r>
    </w:p>
    <w:p w14:paraId="7C8A2482" w14:textId="77777777" w:rsidR="00EF3AB4" w:rsidRPr="00287EA8" w:rsidRDefault="00EF3AB4" w:rsidP="00EF3AB4">
      <w:r w:rsidRPr="00DC6220">
        <w:t xml:space="preserve">Dividendy a zpětné odkupy </w:t>
      </w:r>
      <w:r>
        <w:t xml:space="preserve">akcií </w:t>
      </w:r>
      <w:r w:rsidRPr="00DC6220">
        <w:t>se dostávají do popředí zájmu firem.</w:t>
      </w:r>
      <w:r w:rsidRPr="00287EA8">
        <w:t xml:space="preserve"> </w:t>
      </w:r>
      <w:r w:rsidRPr="00DC6220">
        <w:t xml:space="preserve">Alex </w:t>
      </w:r>
      <w:proofErr w:type="spellStart"/>
      <w:r w:rsidRPr="00DC6220">
        <w:t>Dong</w:t>
      </w:r>
      <w:proofErr w:type="spellEnd"/>
      <w:r w:rsidRPr="00DC6220">
        <w:t>, akciový analytik zabývající se společnostmi vyrábějícími základní spotřební zboží, říká, že akcie s udržitelnými zisky a rostoucími výplatami dividend budou v době postupného oživování spotřebitelské poptávky odolnější</w:t>
      </w:r>
      <w:r w:rsidRPr="00287EA8">
        <w:t xml:space="preserve">. </w:t>
      </w:r>
    </w:p>
    <w:p w14:paraId="5AA77D5F" w14:textId="77777777" w:rsidR="00EF3AB4" w:rsidRPr="00287EA8" w:rsidRDefault="00EF3AB4" w:rsidP="00EF3AB4">
      <w:r w:rsidRPr="00EC2FAA">
        <w:t xml:space="preserve">Přibližně 60 % </w:t>
      </w:r>
      <w:r>
        <w:t xml:space="preserve">čínských </w:t>
      </w:r>
      <w:r w:rsidRPr="00EC2FAA">
        <w:t>analytiků očekává, že jimi sledované společnosti v letošním roce mírně zvýší celkovou výplatu dividend</w:t>
      </w:r>
      <w:r w:rsidRPr="00287EA8">
        <w:t xml:space="preserve">. </w:t>
      </w:r>
      <w:r w:rsidRPr="00EC2FAA">
        <w:t xml:space="preserve">To je více než 38 % v Asii (bez Číny a Japonska), i když </w:t>
      </w:r>
      <w:r>
        <w:t xml:space="preserve">tato hodnota </w:t>
      </w:r>
      <w:r w:rsidRPr="00EC2FAA">
        <w:t>stále zaostává za Japonskem, kde je tento podíl téměř 90 % - nejvyšší na světě</w:t>
      </w:r>
      <w:r w:rsidRPr="00287EA8">
        <w:t>.</w:t>
      </w:r>
    </w:p>
    <w:p w14:paraId="66817FF3" w14:textId="77777777" w:rsidR="00EF3AB4" w:rsidRPr="00287EA8" w:rsidRDefault="00EF3AB4" w:rsidP="00EF3AB4">
      <w:r w:rsidRPr="00EC2FAA">
        <w:t xml:space="preserve">Tváří v tvář obchodním sankcím USA Čína zvýšila podporu místního polovodičového průmyslu a snaží se být ve výrobě čipů soběstačná. Domácí výrobci polovodičových nástrojů začínají </w:t>
      </w:r>
      <w:r>
        <w:t>dosahovat pokroku</w:t>
      </w:r>
      <w:r w:rsidRPr="00EC2FAA">
        <w:t xml:space="preserve"> ve vývoji sofistikovanějších strojů na výrobu pokročilých čipů</w:t>
      </w:r>
      <w:r w:rsidRPr="00287EA8">
        <w:t>.</w:t>
      </w:r>
    </w:p>
    <w:p w14:paraId="11167056" w14:textId="77777777" w:rsidR="00EF3AB4" w:rsidRPr="00EF3AB4" w:rsidRDefault="00EF3AB4" w:rsidP="00EF3AB4">
      <w:pPr>
        <w:rPr>
          <w:i/>
          <w:iCs/>
        </w:rPr>
      </w:pPr>
      <w:r w:rsidRPr="00EF3AB4">
        <w:rPr>
          <w:i/>
          <w:iCs/>
        </w:rPr>
        <w:t>„Čínští dodavatelé zařízení stále ještě dohánějí americké a japonské lídry,“</w:t>
      </w:r>
      <w:r w:rsidRPr="00EC2FAA">
        <w:t xml:space="preserve"> říká Allen </w:t>
      </w:r>
      <w:proofErr w:type="spellStart"/>
      <w:r w:rsidRPr="00EC2FAA">
        <w:t>Yang</w:t>
      </w:r>
      <w:proofErr w:type="spellEnd"/>
      <w:r w:rsidRPr="00EC2FAA">
        <w:t>, akciový analytik zabývající se polovodiči</w:t>
      </w:r>
      <w:r w:rsidRPr="00287EA8">
        <w:t xml:space="preserve">. </w:t>
      </w:r>
      <w:r w:rsidRPr="00EF3AB4">
        <w:rPr>
          <w:i/>
          <w:iCs/>
        </w:rPr>
        <w:t>„Čínští výrobci čipů však kvůli geopolitické situaci aktivně nahrazují západní dodavatele domácími možnostmi. Vidím velký potenciál pro růst tržeb domácích výrobců zařízení.“</w:t>
      </w:r>
    </w:p>
    <w:p w14:paraId="24E04BAA" w14:textId="09985761" w:rsidR="00EF3AB4" w:rsidRPr="00287EA8" w:rsidRDefault="00EF3AB4" w:rsidP="00EF3AB4">
      <w:r w:rsidRPr="005B34E6">
        <w:t xml:space="preserve">Dalším zajímavým příběhem je zahraniční expanze čínských společností. </w:t>
      </w:r>
      <w:r>
        <w:t>„</w:t>
      </w:r>
      <w:r w:rsidRPr="00EF3AB4">
        <w:rPr>
          <w:i/>
          <w:iCs/>
        </w:rPr>
        <w:t>Přední čínští výrobci baterií a dodavatelé autodílů vybudovali výrobní závody v zahraničí, aby lépe využili příležitostí, které nabízí éra elektrifikace a digitalizace</w:t>
      </w:r>
      <w:r w:rsidRPr="005B34E6">
        <w:t>,</w:t>
      </w:r>
      <w:r w:rsidRPr="00EF3AB4">
        <w:rPr>
          <w:i/>
          <w:iCs/>
        </w:rPr>
        <w:t xml:space="preserve">“ </w:t>
      </w:r>
      <w:r w:rsidRPr="005B34E6">
        <w:t xml:space="preserve">říká analytik </w:t>
      </w:r>
      <w:proofErr w:type="spellStart"/>
      <w:r w:rsidRPr="005B34E6">
        <w:t>Tse</w:t>
      </w:r>
      <w:proofErr w:type="spellEnd"/>
      <w:r w:rsidRPr="00287EA8">
        <w:t xml:space="preserve">. </w:t>
      </w:r>
    </w:p>
    <w:p w14:paraId="4BC389FB" w14:textId="77777777" w:rsidR="00EF3AB4" w:rsidRPr="00EF3AB4" w:rsidRDefault="00EF3AB4" w:rsidP="00EF3AB4">
      <w:pPr>
        <w:rPr>
          <w:i/>
          <w:iCs/>
        </w:rPr>
      </w:pPr>
      <w:r w:rsidRPr="00EF3AB4">
        <w:rPr>
          <w:i/>
          <w:iCs/>
        </w:rPr>
        <w:t>„Velké investice čínských společností do výzkumu a vývoje a přístup na největší světový trh s elektromobily jim pomohou udržet si vedoucí postavení v oblasti technologií a posílit konkurenční výhodu oproti mezinárodním konkurentům,“</w:t>
      </w:r>
      <w:r w:rsidRPr="005B34E6">
        <w:t xml:space="preserve"> </w:t>
      </w:r>
      <w:r>
        <w:t>dodává</w:t>
      </w:r>
      <w:r w:rsidRPr="00287EA8">
        <w:t xml:space="preserve">. </w:t>
      </w:r>
      <w:r w:rsidRPr="005B34E6">
        <w:t>„</w:t>
      </w:r>
      <w:r w:rsidRPr="00EF3AB4">
        <w:rPr>
          <w:i/>
          <w:iCs/>
        </w:rPr>
        <w:t>Čínští dodavatelé s dominantním podílem na trhu budou schopni přenést zvýšení nákladů v důsledku rostoucích protekcionistických opatření na zákazníky.“</w:t>
      </w:r>
    </w:p>
    <w:p w14:paraId="27913821" w14:textId="77777777" w:rsidR="00EF3AB4" w:rsidRPr="00287EA8" w:rsidRDefault="00EF3AB4" w:rsidP="00EF3AB4">
      <w:r w:rsidRPr="005B34E6">
        <w:t xml:space="preserve">Přestože do plného hospodářského oživení v Číně zbývá ještě kus cesty, je pravděpodobné, že se bude dařit právě těm podnikům, které </w:t>
      </w:r>
      <w:r>
        <w:t xml:space="preserve">posílily svou </w:t>
      </w:r>
      <w:r w:rsidRPr="005B34E6">
        <w:t xml:space="preserve">odolnost a které budou po </w:t>
      </w:r>
      <w:r>
        <w:t xml:space="preserve">realizaci </w:t>
      </w:r>
      <w:r w:rsidRPr="005B34E6">
        <w:t>dalších stimul</w:t>
      </w:r>
      <w:r>
        <w:t>ačních opatření</w:t>
      </w:r>
      <w:r w:rsidRPr="005B34E6">
        <w:t xml:space="preserve"> možná ještě živější než dříve</w:t>
      </w:r>
      <w:r w:rsidRPr="00287EA8">
        <w:t xml:space="preserve">. </w:t>
      </w:r>
    </w:p>
    <w:p w14:paraId="34CB7A5A" w14:textId="55AAF280" w:rsidR="00D8553D" w:rsidRDefault="00EF3AB4" w:rsidP="00154229">
      <w:pPr>
        <w:spacing w:line="360" w:lineRule="auto"/>
      </w:pPr>
      <w:r>
        <w:rPr>
          <w:rFonts w:asciiTheme="minorHAnsi" w:hAnsiTheme="minorHAnsi" w:cstheme="minorHAnsi"/>
          <w:b/>
          <w:bCs/>
          <w:sz w:val="24"/>
          <w:szCs w:val="24"/>
        </w:rPr>
        <w:br/>
      </w:r>
    </w:p>
    <w:p w14:paraId="633CF9C9" w14:textId="77777777" w:rsidR="00EF3AB4" w:rsidRDefault="00EF3AB4" w:rsidP="00EF3AB4">
      <w:pPr>
        <w:pStyle w:val="F2-zkladn"/>
      </w:pPr>
    </w:p>
    <w:p w14:paraId="13454074" w14:textId="77777777" w:rsidR="00EF3AB4" w:rsidRPr="00EF3AB4" w:rsidRDefault="00EF3AB4" w:rsidP="00EF3AB4">
      <w:pPr>
        <w:pStyle w:val="F2-zkladn"/>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5"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lastRenderedPageBreak/>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51C0ECD" w14:textId="77777777" w:rsidR="005D4A01" w:rsidRPr="005D4A01" w:rsidRDefault="005D4A01" w:rsidP="005D4A01">
      <w:pPr>
        <w:pStyle w:val="F2-zkladn"/>
        <w:rPr>
          <w:lang w:val="de-AT"/>
        </w:rPr>
      </w:pPr>
      <w:r w:rsidRPr="005D4A01">
        <w:rPr>
          <w:lang w:val="de-AT"/>
        </w:rPr>
        <w:t>MKAT12822</w:t>
      </w:r>
    </w:p>
    <w:p w14:paraId="1010ED4C" w14:textId="62C66DBE" w:rsidR="00D20058" w:rsidRDefault="00D20058" w:rsidP="00154229">
      <w:pPr>
        <w:pStyle w:val="F2-zkladn"/>
      </w:pPr>
    </w:p>
    <w:sectPr w:rsidR="00D20058" w:rsidSect="00F50497">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44DAE" w14:textId="77777777" w:rsidR="00D256D4" w:rsidRDefault="00D256D4">
      <w:r>
        <w:separator/>
      </w:r>
    </w:p>
  </w:endnote>
  <w:endnote w:type="continuationSeparator" w:id="0">
    <w:p w14:paraId="3F1B3659" w14:textId="77777777" w:rsidR="00D256D4" w:rsidRDefault="00D2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41EA6" w14:textId="77777777" w:rsidR="00D256D4" w:rsidRDefault="00D256D4">
      <w:r>
        <w:separator/>
      </w:r>
    </w:p>
  </w:footnote>
  <w:footnote w:type="continuationSeparator" w:id="0">
    <w:p w14:paraId="5E3F1ECB" w14:textId="77777777" w:rsidR="00D256D4" w:rsidRDefault="00D256D4">
      <w:r>
        <w:continuationSeparator/>
      </w:r>
    </w:p>
  </w:footnote>
  <w:footnote w:type="continuationNotice" w:id="1">
    <w:p w14:paraId="6307118E" w14:textId="77777777" w:rsidR="00D256D4" w:rsidRDefault="00D25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004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0E1"/>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11506</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13430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2025-02-17T08:48:00Z</dcterms:created>
  <dcterms:modified xsi:type="dcterms:W3CDTF">2025-02-17T08:48:00Z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